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t>84bis</w:t>
      </w:r>
      <w:r w:rsidRPr="00446F9D">
        <w:tab/>
        <w:t>R1-</w:t>
      </w:r>
      <w:r>
        <w:t>16</w:t>
      </w:r>
      <w:r w:rsidR="004050E7">
        <w:t>3246</w:t>
      </w:r>
      <w:bookmarkStart w:id="0" w:name="_GoBack"/>
      <w:bookmarkEnd w:id="0"/>
    </w:p>
    <w:p w:rsidR="00FE5799" w:rsidRPr="000833FA" w:rsidRDefault="00FE5799" w:rsidP="00FE5799">
      <w:pPr>
        <w:pStyle w:val="Header"/>
        <w:rPr>
          <w:color w:val="000000"/>
        </w:rPr>
      </w:pPr>
      <w:r>
        <w:t>Busan</w:t>
      </w:r>
      <w:r w:rsidRPr="000833FA">
        <w:t xml:space="preserve">, </w:t>
      </w:r>
      <w:r>
        <w:t>South Korea</w:t>
      </w:r>
      <w:r w:rsidRPr="000833FA">
        <w:t>,</w:t>
      </w:r>
      <w:r>
        <w:t xml:space="preserve"> April 11 – 15, 2016</w:t>
      </w:r>
    </w:p>
    <w:p w:rsidR="00FE5799" w:rsidRPr="000833FA" w:rsidRDefault="00FE5799" w:rsidP="00FE5799">
      <w:pPr>
        <w:pStyle w:val="Header"/>
      </w:pPr>
    </w:p>
    <w:p w:rsidR="00FE5799" w:rsidRPr="00CE2225" w:rsidRDefault="00FE5799" w:rsidP="00FE5799">
      <w:pPr>
        <w:pStyle w:val="Header"/>
        <w:tabs>
          <w:tab w:val="clear" w:pos="4536"/>
          <w:tab w:val="left" w:pos="1800"/>
        </w:tabs>
        <w:ind w:left="1800" w:hanging="1800"/>
        <w:rPr>
          <w:szCs w:val="18"/>
        </w:rPr>
      </w:pPr>
      <w:r w:rsidRPr="00CE2225">
        <w:rPr>
          <w:szCs w:val="18"/>
        </w:rPr>
        <w:t>Source:</w:t>
      </w:r>
      <w:r w:rsidRPr="00CE2225">
        <w:rPr>
          <w:szCs w:val="18"/>
        </w:rPr>
        <w:tab/>
        <w:t>Ericsson</w:t>
      </w:r>
    </w:p>
    <w:p w:rsidR="00FE5799" w:rsidRPr="00CE2225" w:rsidRDefault="00FE5799" w:rsidP="00FE5799">
      <w:pPr>
        <w:pStyle w:val="Header"/>
        <w:tabs>
          <w:tab w:val="clear" w:pos="4536"/>
          <w:tab w:val="left" w:pos="1800"/>
        </w:tabs>
        <w:rPr>
          <w:szCs w:val="18"/>
        </w:rPr>
      </w:pPr>
      <w:r w:rsidRPr="00CE2225">
        <w:rPr>
          <w:szCs w:val="18"/>
        </w:rPr>
        <w:t>Title:</w:t>
      </w:r>
      <w:bookmarkStart w:id="1" w:name="Title"/>
      <w:bookmarkEnd w:id="1"/>
      <w:r w:rsidRPr="00CE2225">
        <w:rPr>
          <w:szCs w:val="18"/>
        </w:rPr>
        <w:tab/>
      </w:r>
      <w:r w:rsidR="00632F61" w:rsidRPr="00CE2225">
        <w:rPr>
          <w:szCs w:val="18"/>
        </w:rPr>
        <w:t>Channel modeling with time-varying delays and angles</w:t>
      </w:r>
    </w:p>
    <w:p w:rsidR="00FE5799" w:rsidRPr="00CE2225" w:rsidRDefault="00FE5799" w:rsidP="00FE5799">
      <w:pPr>
        <w:pStyle w:val="Header"/>
        <w:tabs>
          <w:tab w:val="left" w:pos="1800"/>
        </w:tabs>
        <w:rPr>
          <w:szCs w:val="18"/>
        </w:rPr>
      </w:pPr>
      <w:r w:rsidRPr="00CE2225">
        <w:rPr>
          <w:szCs w:val="18"/>
        </w:rPr>
        <w:t>Agenda Item:</w:t>
      </w:r>
      <w:bookmarkStart w:id="2" w:name="Source"/>
      <w:bookmarkEnd w:id="2"/>
      <w:r w:rsidRPr="00CE2225">
        <w:rPr>
          <w:szCs w:val="18"/>
        </w:rPr>
        <w:tab/>
      </w:r>
      <w:r w:rsidR="003C16E9" w:rsidRPr="00CE2225">
        <w:rPr>
          <w:szCs w:val="18"/>
        </w:rPr>
        <w:t>8</w:t>
      </w:r>
      <w:r w:rsidR="00E232CF" w:rsidRPr="00CE2225">
        <w:rPr>
          <w:szCs w:val="18"/>
        </w:rPr>
        <w:t>.</w:t>
      </w:r>
      <w:r w:rsidR="003C16E9" w:rsidRPr="00CE2225">
        <w:rPr>
          <w:szCs w:val="18"/>
        </w:rPr>
        <w:t>2</w:t>
      </w:r>
      <w:r w:rsidR="00E232CF" w:rsidRPr="00CE2225">
        <w:rPr>
          <w:szCs w:val="18"/>
        </w:rPr>
        <w:t>.2</w:t>
      </w:r>
    </w:p>
    <w:p w:rsidR="00FE5799" w:rsidRPr="00CE2225" w:rsidRDefault="00FE5799" w:rsidP="00FE5799">
      <w:pPr>
        <w:pStyle w:val="Header"/>
        <w:tabs>
          <w:tab w:val="left" w:pos="1800"/>
        </w:tabs>
        <w:rPr>
          <w:szCs w:val="18"/>
        </w:rPr>
      </w:pPr>
      <w:r w:rsidRPr="00CE2225">
        <w:rPr>
          <w:szCs w:val="18"/>
        </w:rPr>
        <w:t>Document for:</w:t>
      </w:r>
      <w:r w:rsidRPr="00CE2225">
        <w:rPr>
          <w:szCs w:val="18"/>
        </w:rPr>
        <w:tab/>
      </w:r>
      <w:bookmarkStart w:id="3" w:name="DocumentFor"/>
      <w:bookmarkEnd w:id="3"/>
      <w:r w:rsidRPr="00CE2225">
        <w:rPr>
          <w:szCs w:val="18"/>
        </w:rPr>
        <w:t>Discussion and Decision</w:t>
      </w:r>
    </w:p>
    <w:p w:rsidR="00FE5799" w:rsidRPr="002100D2" w:rsidRDefault="00FE5799" w:rsidP="00FE5799">
      <w:pPr>
        <w:pBdr>
          <w:bottom w:val="single" w:sz="4" w:space="1" w:color="auto"/>
        </w:pBdr>
        <w:tabs>
          <w:tab w:val="left" w:pos="2552"/>
        </w:tabs>
      </w:pPr>
    </w:p>
    <w:p w:rsidR="004A3F44" w:rsidRDefault="001639B5" w:rsidP="004A3F44">
      <w:pPr>
        <w:pStyle w:val="Heading1"/>
      </w:pPr>
      <w:r>
        <w:t>Introduction</w:t>
      </w:r>
    </w:p>
    <w:p w:rsidR="00632F61" w:rsidRDefault="00632F61" w:rsidP="00A55C73">
      <w:pPr>
        <w:pStyle w:val="BodyText"/>
      </w:pPr>
      <w:r>
        <w:t xml:space="preserve">In the Ljubljana meeting a working assumption on modeling of spatial consistency based on alternative 1 in </w:t>
      </w:r>
      <w:r>
        <w:fldChar w:fldCharType="begin"/>
      </w:r>
      <w:r>
        <w:instrText xml:space="preserve"> REF _Ref447204869 \r \h </w:instrText>
      </w:r>
      <w:r>
        <w:fldChar w:fldCharType="separate"/>
      </w:r>
      <w:r>
        <w:t>[1]</w:t>
      </w:r>
      <w:r>
        <w:fldChar w:fldCharType="end"/>
      </w:r>
      <w:r>
        <w:t>. In this and the other alternative methods proposed for modeling spatial consistency the delays and angles of clusters and rays will vary continuously over space and time. It is therefore important to ensure that the channel generation method can cope with time-variation of delays and angles. The purpose of this contribution is to provide a deeper analysis of the consequence of time variation and propose some necessary changes to avoid unphysical channel realizations.</w:t>
      </w:r>
    </w:p>
    <w:p w:rsidR="00632F61" w:rsidRDefault="00632F61" w:rsidP="00632F61">
      <w:pPr>
        <w:pStyle w:val="Heading1"/>
      </w:pPr>
      <w:r>
        <w:t xml:space="preserve">The channel generation procedure of </w:t>
      </w:r>
      <w:r w:rsidR="00B17B54">
        <w:t xml:space="preserve">the 3D SCM model </w:t>
      </w:r>
      <w:r w:rsidR="00B17B54">
        <w:fldChar w:fldCharType="begin"/>
      </w:r>
      <w:r w:rsidR="00B17B54">
        <w:instrText xml:space="preserve"> REF _Ref447143493 \r \h </w:instrText>
      </w:r>
      <w:r w:rsidR="00B17B54">
        <w:fldChar w:fldCharType="separate"/>
      </w:r>
      <w:r w:rsidR="00B17B54">
        <w:t>[2]</w:t>
      </w:r>
      <w:r w:rsidR="00B17B54">
        <w:fldChar w:fldCharType="end"/>
      </w:r>
      <w:r w:rsidR="00B17B54">
        <w:t xml:space="preserve"> </w:t>
      </w:r>
    </w:p>
    <w:p w:rsidR="00632F61" w:rsidRDefault="00632F61" w:rsidP="00632F61">
      <w:pPr>
        <w:pStyle w:val="BodyText"/>
      </w:pPr>
      <w:r>
        <w:t>In the 3D SCM model the following step is given for converting clusters and rays into complex channel coefficients:</w:t>
      </w:r>
    </w:p>
    <w:p w:rsidR="00632F61" w:rsidRPr="00991224" w:rsidRDefault="00632F61" w:rsidP="00632F61">
      <w:pPr>
        <w:pBdr>
          <w:top w:val="single" w:sz="4" w:space="1" w:color="auto"/>
          <w:left w:val="single" w:sz="4" w:space="4" w:color="auto"/>
          <w:bottom w:val="single" w:sz="4" w:space="1" w:color="auto"/>
          <w:right w:val="single" w:sz="4" w:space="4" w:color="auto"/>
        </w:pBdr>
        <w:ind w:left="1304"/>
      </w:pPr>
      <w:r w:rsidRPr="00991224">
        <w:rPr>
          <w:u w:val="single"/>
        </w:rPr>
        <w:t>Step 11</w:t>
      </w:r>
      <w:r w:rsidRPr="00991224">
        <w:t xml:space="preserve">: Generate channel coefficients for each cluster </w:t>
      </w:r>
      <w:r w:rsidRPr="00991224">
        <w:rPr>
          <w:i/>
        </w:rPr>
        <w:t>n</w:t>
      </w:r>
      <w:r w:rsidRPr="00991224">
        <w:t xml:space="preserve"> and each receiver and transmitter element pair </w:t>
      </w:r>
      <w:r w:rsidRPr="00991224">
        <w:rPr>
          <w:i/>
        </w:rPr>
        <w:t>u, s</w:t>
      </w:r>
      <w:r w:rsidRPr="00991224">
        <w:t>.</w:t>
      </w:r>
    </w:p>
    <w:p w:rsidR="00632F61" w:rsidRPr="00991224" w:rsidRDefault="00632F61" w:rsidP="00632F61">
      <w:pPr>
        <w:pBdr>
          <w:top w:val="single" w:sz="4" w:space="1" w:color="auto"/>
          <w:left w:val="single" w:sz="4" w:space="4" w:color="auto"/>
          <w:bottom w:val="single" w:sz="4" w:space="1" w:color="auto"/>
          <w:right w:val="single" w:sz="4" w:space="4" w:color="auto"/>
        </w:pBdr>
        <w:ind w:left="1304"/>
      </w:pPr>
      <w:r w:rsidRPr="00991224">
        <w:rPr>
          <w:i/>
        </w:rPr>
        <w:t>For the N – 2 weakest clusters</w:t>
      </w:r>
      <w:r w:rsidRPr="00991224">
        <w:t xml:space="preserve">, say </w:t>
      </w:r>
      <w:r w:rsidRPr="00991224">
        <w:rPr>
          <w:i/>
        </w:rPr>
        <w:t>n</w:t>
      </w:r>
      <w:r w:rsidRPr="00991224">
        <w:t xml:space="preserve"> = 3, 4,…, </w:t>
      </w:r>
      <w:r w:rsidRPr="00991224">
        <w:rPr>
          <w:i/>
        </w:rPr>
        <w:t>N</w:t>
      </w:r>
      <w:r w:rsidRPr="00991224">
        <w:t>, the channel coefficients are given by:</w:t>
      </w:r>
    </w:p>
    <w:p w:rsidR="00632F61" w:rsidRPr="00991224" w:rsidRDefault="00632F61" w:rsidP="00632F61">
      <w:pPr>
        <w:pStyle w:val="EQ"/>
        <w:pBdr>
          <w:top w:val="single" w:sz="4" w:space="1" w:color="auto"/>
          <w:left w:val="single" w:sz="4" w:space="4" w:color="auto"/>
          <w:bottom w:val="single" w:sz="4" w:space="1" w:color="auto"/>
          <w:right w:val="single" w:sz="4" w:space="4" w:color="auto"/>
        </w:pBdr>
        <w:ind w:left="1304"/>
        <w:jc w:val="center"/>
        <w:rPr>
          <w:u w:val="single"/>
        </w:rPr>
      </w:pPr>
      <w:r w:rsidRPr="00991224">
        <w:rPr>
          <w:position w:val="-82"/>
        </w:rPr>
        <w:object w:dxaOrig="8559" w:dyaOrig="1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88.3pt" o:ole="" fillcolor="window">
            <v:imagedata r:id="rId9" o:title=""/>
          </v:shape>
          <o:OLEObject Type="Embed" ProgID="Equation.3" ShapeID="_x0000_i1025" DrawAspect="Content" ObjectID="_1521026843" r:id="rId10"/>
        </w:object>
      </w:r>
      <w:r w:rsidRPr="00991224">
        <w:t>(</w:t>
      </w:r>
      <w:r>
        <w:t>7.</w:t>
      </w:r>
      <w:r w:rsidRPr="00991224">
        <w:t>21)</w:t>
      </w:r>
    </w:p>
    <w:p w:rsidR="00632F61" w:rsidRPr="00991224" w:rsidRDefault="00632F61" w:rsidP="00632F61">
      <w:pPr>
        <w:pBdr>
          <w:top w:val="single" w:sz="4" w:space="1" w:color="auto"/>
          <w:left w:val="single" w:sz="4" w:space="4" w:color="auto"/>
          <w:bottom w:val="single" w:sz="4" w:space="1" w:color="auto"/>
          <w:right w:val="single" w:sz="4" w:space="4" w:color="auto"/>
        </w:pBdr>
        <w:ind w:left="1304"/>
      </w:pPr>
      <w:r w:rsidRPr="00991224">
        <w:t xml:space="preserve">where </w:t>
      </w:r>
      <w:r w:rsidRPr="00991224">
        <w:rPr>
          <w:i/>
        </w:rPr>
        <w:t>F</w:t>
      </w:r>
      <w:r w:rsidRPr="00991224">
        <w:rPr>
          <w:i/>
          <w:vertAlign w:val="subscript"/>
        </w:rPr>
        <w:t>rx,u,θ</w:t>
      </w:r>
      <w:r w:rsidRPr="00991224">
        <w:t xml:space="preserve"> and </w:t>
      </w:r>
      <w:r w:rsidRPr="00991224">
        <w:rPr>
          <w:i/>
        </w:rPr>
        <w:t>F</w:t>
      </w:r>
      <w:r w:rsidRPr="00991224">
        <w:rPr>
          <w:i/>
          <w:vertAlign w:val="subscript"/>
        </w:rPr>
        <w:t>rx,u,ϕ</w:t>
      </w:r>
      <w:r w:rsidRPr="00991224">
        <w:t xml:space="preserve"> are the receive antenna element </w:t>
      </w:r>
      <w:r w:rsidRPr="00991224">
        <w:rPr>
          <w:i/>
        </w:rPr>
        <w:t>u</w:t>
      </w:r>
      <w:r w:rsidRPr="00991224">
        <w:t xml:space="preserve"> field patterns in the direction of the spherical basis vectors, </w:t>
      </w:r>
      <w:r w:rsidRPr="00991224">
        <w:rPr>
          <w:position w:val="-6"/>
        </w:rPr>
        <w:object w:dxaOrig="200" w:dyaOrig="340">
          <v:shape id="_x0000_i1026" type="#_x0000_t75" style="width:9.4pt;height:15.65pt" o:ole="">
            <v:imagedata r:id="rId11" o:title=""/>
          </v:shape>
          <o:OLEObject Type="Embed" ProgID="Equation.3" ShapeID="_x0000_i1026" DrawAspect="Content" ObjectID="_1521026844" r:id="rId12"/>
        </w:object>
      </w:r>
      <w:r w:rsidRPr="00991224">
        <w:t xml:space="preserve"> and </w:t>
      </w:r>
      <w:r w:rsidRPr="00991224">
        <w:rPr>
          <w:position w:val="-10"/>
        </w:rPr>
        <w:object w:dxaOrig="200" w:dyaOrig="380">
          <v:shape id="_x0000_i1027" type="#_x0000_t75" style="width:9.4pt;height:17.55pt" o:ole="">
            <v:imagedata r:id="rId13" o:title=""/>
          </v:shape>
          <o:OLEObject Type="Embed" ProgID="Equation.3" ShapeID="_x0000_i1027" DrawAspect="Content" ObjectID="_1521026845" r:id="rId14"/>
        </w:object>
      </w:r>
      <w:r w:rsidRPr="00991224">
        <w:t xml:space="preserve"> respectively, </w:t>
      </w:r>
      <w:r w:rsidRPr="00991224">
        <w:rPr>
          <w:i/>
        </w:rPr>
        <w:t>F</w:t>
      </w:r>
      <w:r w:rsidRPr="00991224">
        <w:rPr>
          <w:i/>
          <w:vertAlign w:val="subscript"/>
        </w:rPr>
        <w:t>tx,s,θ</w:t>
      </w:r>
      <w:r w:rsidRPr="00991224">
        <w:t xml:space="preserve"> and </w:t>
      </w:r>
      <w:r w:rsidRPr="00991224">
        <w:rPr>
          <w:i/>
        </w:rPr>
        <w:t>F</w:t>
      </w:r>
      <w:r w:rsidRPr="00991224">
        <w:rPr>
          <w:i/>
          <w:vertAlign w:val="subscript"/>
        </w:rPr>
        <w:t>tx,s,ϕ</w:t>
      </w:r>
      <w:r w:rsidRPr="00991224">
        <w:t xml:space="preserve"> are the transmit antenna element </w:t>
      </w:r>
      <w:r w:rsidRPr="00991224">
        <w:rPr>
          <w:i/>
        </w:rPr>
        <w:t>s</w:t>
      </w:r>
      <w:r w:rsidRPr="00991224">
        <w:t xml:space="preserve"> field patterns in the direction of the spherical basis vectors, </w:t>
      </w:r>
      <w:r w:rsidRPr="00991224">
        <w:rPr>
          <w:position w:val="-6"/>
        </w:rPr>
        <w:object w:dxaOrig="200" w:dyaOrig="340">
          <v:shape id="_x0000_i1028" type="#_x0000_t75" style="width:9.4pt;height:15.65pt" o:ole="">
            <v:imagedata r:id="rId11" o:title=""/>
          </v:shape>
          <o:OLEObject Type="Embed" ProgID="Equation.3" ShapeID="_x0000_i1028" DrawAspect="Content" ObjectID="_1521026846" r:id="rId15"/>
        </w:object>
      </w:r>
      <w:r w:rsidRPr="00991224">
        <w:t xml:space="preserve"> and </w:t>
      </w:r>
      <w:r w:rsidRPr="00991224">
        <w:rPr>
          <w:position w:val="-10"/>
        </w:rPr>
        <w:object w:dxaOrig="200" w:dyaOrig="380">
          <v:shape id="_x0000_i1029" type="#_x0000_t75" style="width:9.4pt;height:17.55pt" o:ole="">
            <v:imagedata r:id="rId16" o:title=""/>
          </v:shape>
          <o:OLEObject Type="Embed" ProgID="Equation.3" ShapeID="_x0000_i1029" DrawAspect="Content" ObjectID="_1521026847" r:id="rId17"/>
        </w:object>
      </w:r>
      <w:r w:rsidRPr="00991224">
        <w:t xml:space="preserve"> respectively. </w:t>
      </w:r>
      <w:r w:rsidRPr="00991224">
        <w:rPr>
          <w:position w:val="-14"/>
        </w:rPr>
        <w:object w:dxaOrig="540" w:dyaOrig="380">
          <v:shape id="_x0000_i1030" type="#_x0000_t75" style="width:25.65pt;height:17.55pt" o:ole="">
            <v:imagedata r:id="rId18" o:title=""/>
          </v:shape>
          <o:OLEObject Type="Embed" ProgID="Equation.3" ShapeID="_x0000_i1030" DrawAspect="Content" ObjectID="_1521026848" r:id="rId19"/>
        </w:object>
      </w:r>
      <w:r w:rsidRPr="00991224">
        <w:t xml:space="preserve"> is the spherical unit vector with azimuth arrival angle </w:t>
      </w:r>
      <w:r w:rsidRPr="00991224">
        <w:rPr>
          <w:i/>
        </w:rPr>
        <w:t>ϕ</w:t>
      </w:r>
      <w:r w:rsidRPr="00991224">
        <w:rPr>
          <w:i/>
          <w:vertAlign w:val="subscript"/>
        </w:rPr>
        <w:t>n,m,AOA</w:t>
      </w:r>
      <w:r w:rsidRPr="00991224">
        <w:t xml:space="preserve"> and elevation arrival angle </w:t>
      </w:r>
      <w:r w:rsidRPr="00991224">
        <w:rPr>
          <w:i/>
        </w:rPr>
        <w:t>θ</w:t>
      </w:r>
      <w:r w:rsidRPr="00991224">
        <w:rPr>
          <w:i/>
          <w:vertAlign w:val="subscript"/>
        </w:rPr>
        <w:t>n,m,ZOA</w:t>
      </w:r>
      <w:r w:rsidRPr="00991224">
        <w:t xml:space="preserve">, given by </w:t>
      </w:r>
    </w:p>
    <w:p w:rsidR="00632F61" w:rsidRPr="00991224" w:rsidRDefault="00632F61" w:rsidP="00632F61">
      <w:pPr>
        <w:pStyle w:val="EQ"/>
        <w:pBdr>
          <w:top w:val="single" w:sz="4" w:space="1" w:color="auto"/>
          <w:left w:val="single" w:sz="4" w:space="4" w:color="auto"/>
          <w:bottom w:val="single" w:sz="4" w:space="1" w:color="auto"/>
          <w:right w:val="single" w:sz="4" w:space="4" w:color="auto"/>
        </w:pBdr>
        <w:ind w:left="1304"/>
        <w:jc w:val="center"/>
      </w:pPr>
      <w:r w:rsidRPr="00991224">
        <w:rPr>
          <w:position w:val="-52"/>
        </w:rPr>
        <w:object w:dxaOrig="3060" w:dyaOrig="1160">
          <v:shape id="_x0000_i1031" type="#_x0000_t75" style="width:152.75pt;height:58.25pt" o:ole="">
            <v:imagedata r:id="rId20" o:title=""/>
          </v:shape>
          <o:OLEObject Type="Embed" ProgID="Equation.3" ShapeID="_x0000_i1031" DrawAspect="Content" ObjectID="_1521026849" r:id="rId21"/>
        </w:object>
      </w:r>
      <w:r w:rsidRPr="00991224">
        <w:t>,</w:t>
      </w:r>
      <w:r w:rsidRPr="00991224">
        <w:tab/>
        <w:t>(</w:t>
      </w:r>
      <w:r>
        <w:t>7.</w:t>
      </w:r>
      <w:r w:rsidRPr="00991224">
        <w:t>22)</w:t>
      </w:r>
    </w:p>
    <w:p w:rsidR="00632F61" w:rsidRPr="00991224" w:rsidRDefault="00632F61" w:rsidP="00632F61">
      <w:pPr>
        <w:pBdr>
          <w:top w:val="single" w:sz="4" w:space="1" w:color="auto"/>
          <w:left w:val="single" w:sz="4" w:space="4" w:color="auto"/>
          <w:bottom w:val="single" w:sz="4" w:space="1" w:color="auto"/>
          <w:right w:val="single" w:sz="4" w:space="4" w:color="auto"/>
        </w:pBdr>
        <w:ind w:left="1304"/>
      </w:pPr>
      <w:r w:rsidRPr="00991224">
        <w:t xml:space="preserve">where </w:t>
      </w:r>
      <w:r w:rsidRPr="00991224">
        <w:rPr>
          <w:i/>
          <w:iCs/>
        </w:rPr>
        <w:t>n</w:t>
      </w:r>
      <w:r w:rsidRPr="00991224">
        <w:t xml:space="preserve"> denotes a cluster and </w:t>
      </w:r>
      <w:r w:rsidRPr="00991224">
        <w:rPr>
          <w:i/>
          <w:iCs/>
        </w:rPr>
        <w:t>m</w:t>
      </w:r>
      <w:r w:rsidRPr="00991224">
        <w:t xml:space="preserve"> denotes a ray within cluster </w:t>
      </w:r>
      <w:r w:rsidRPr="00991224">
        <w:rPr>
          <w:i/>
        </w:rPr>
        <w:t>n</w:t>
      </w:r>
      <w:r w:rsidRPr="00991224">
        <w:t xml:space="preserve">. </w:t>
      </w:r>
      <w:r w:rsidRPr="00991224">
        <w:rPr>
          <w:position w:val="-14"/>
        </w:rPr>
        <w:object w:dxaOrig="540" w:dyaOrig="380">
          <v:shape id="_x0000_i1032" type="#_x0000_t75" style="width:25.65pt;height:17.55pt" o:ole="">
            <v:imagedata r:id="rId22" o:title=""/>
          </v:shape>
          <o:OLEObject Type="Embed" ProgID="Equation.3" ShapeID="_x0000_i1032" DrawAspect="Content" ObjectID="_1521026850" r:id="rId23"/>
        </w:object>
      </w:r>
      <w:r w:rsidRPr="00991224">
        <w:t xml:space="preserve"> is the spherical unit vector with azimuth departure angle </w:t>
      </w:r>
      <w:r w:rsidRPr="00991224">
        <w:rPr>
          <w:i/>
        </w:rPr>
        <w:t>ϕ</w:t>
      </w:r>
      <w:r w:rsidRPr="00991224">
        <w:rPr>
          <w:i/>
          <w:vertAlign w:val="subscript"/>
        </w:rPr>
        <w:t>n,m,AOD</w:t>
      </w:r>
      <w:r w:rsidRPr="00991224">
        <w:t xml:space="preserve"> and elevation departure angle </w:t>
      </w:r>
      <w:r w:rsidRPr="00991224">
        <w:rPr>
          <w:i/>
        </w:rPr>
        <w:t>θ</w:t>
      </w:r>
      <w:r w:rsidRPr="00991224">
        <w:rPr>
          <w:i/>
          <w:vertAlign w:val="subscript"/>
        </w:rPr>
        <w:t>n,m,ZOD</w:t>
      </w:r>
      <w:r w:rsidRPr="00991224">
        <w:t>, given by</w:t>
      </w:r>
    </w:p>
    <w:p w:rsidR="00632F61" w:rsidRPr="00991224" w:rsidRDefault="00632F61" w:rsidP="00632F61">
      <w:pPr>
        <w:pStyle w:val="EQ"/>
        <w:pBdr>
          <w:top w:val="single" w:sz="4" w:space="1" w:color="auto"/>
          <w:left w:val="single" w:sz="4" w:space="4" w:color="auto"/>
          <w:bottom w:val="single" w:sz="4" w:space="1" w:color="auto"/>
          <w:right w:val="single" w:sz="4" w:space="4" w:color="auto"/>
        </w:pBdr>
        <w:ind w:left="1304"/>
        <w:jc w:val="center"/>
      </w:pPr>
      <w:r w:rsidRPr="00991224">
        <w:rPr>
          <w:position w:val="-52"/>
        </w:rPr>
        <w:object w:dxaOrig="3100" w:dyaOrig="1160">
          <v:shape id="_x0000_i1033" type="#_x0000_t75" style="width:155.25pt;height:58.25pt" o:ole="">
            <v:imagedata r:id="rId24" o:title=""/>
          </v:shape>
          <o:OLEObject Type="Embed" ProgID="Equation.3" ShapeID="_x0000_i1033" DrawAspect="Content" ObjectID="_1521026851" r:id="rId25"/>
        </w:object>
      </w:r>
      <w:r w:rsidRPr="00991224">
        <w:t>,</w:t>
      </w:r>
      <w:r w:rsidRPr="00991224">
        <w:tab/>
        <w:t>(</w:t>
      </w:r>
      <w:r>
        <w:t>7.</w:t>
      </w:r>
      <w:r w:rsidRPr="00991224">
        <w:t>23)</w:t>
      </w:r>
    </w:p>
    <w:p w:rsidR="00632F61" w:rsidRPr="00991224" w:rsidRDefault="00632F61" w:rsidP="00632F61">
      <w:pPr>
        <w:pBdr>
          <w:top w:val="single" w:sz="4" w:space="1" w:color="auto"/>
          <w:left w:val="single" w:sz="4" w:space="4" w:color="auto"/>
          <w:bottom w:val="single" w:sz="4" w:space="1" w:color="auto"/>
          <w:right w:val="single" w:sz="4" w:space="4" w:color="auto"/>
        </w:pBdr>
        <w:ind w:left="1304"/>
      </w:pPr>
      <w:r w:rsidRPr="00991224">
        <w:t xml:space="preserve">where </w:t>
      </w:r>
      <w:r w:rsidRPr="00991224">
        <w:rPr>
          <w:i/>
          <w:iCs/>
        </w:rPr>
        <w:t>n</w:t>
      </w:r>
      <w:r w:rsidRPr="00991224">
        <w:t xml:space="preserve"> denotes a cluster and </w:t>
      </w:r>
      <w:r w:rsidRPr="00991224">
        <w:rPr>
          <w:i/>
          <w:iCs/>
        </w:rPr>
        <w:t>m</w:t>
      </w:r>
      <w:r w:rsidRPr="00991224">
        <w:t xml:space="preserve"> denotes a ray within cluster </w:t>
      </w:r>
      <w:r w:rsidRPr="00991224">
        <w:rPr>
          <w:i/>
        </w:rPr>
        <w:t>n</w:t>
      </w:r>
      <w:r w:rsidRPr="00991224">
        <w:t xml:space="preserve">. Also, </w:t>
      </w:r>
      <w:r w:rsidRPr="00991224">
        <w:rPr>
          <w:position w:val="-14"/>
        </w:rPr>
        <w:object w:dxaOrig="460" w:dyaOrig="400">
          <v:shape id="_x0000_i1034" type="#_x0000_t75" style="width:21.3pt;height:18.8pt" o:ole="">
            <v:imagedata r:id="rId26" o:title=""/>
          </v:shape>
          <o:OLEObject Type="Embed" ProgID="Equation.3" ShapeID="_x0000_i1034" DrawAspect="Content" ObjectID="_1521026852" r:id="rId27"/>
        </w:object>
      </w:r>
      <w:r w:rsidRPr="00991224">
        <w:t xml:space="preserve">is the location vector of receive antenna element </w:t>
      </w:r>
      <w:r w:rsidRPr="00991224">
        <w:rPr>
          <w:i/>
        </w:rPr>
        <w:t>u</w:t>
      </w:r>
      <w:r w:rsidRPr="00991224">
        <w:t xml:space="preserve"> and </w:t>
      </w:r>
      <w:r w:rsidRPr="00991224">
        <w:rPr>
          <w:position w:val="-14"/>
        </w:rPr>
        <w:object w:dxaOrig="420" w:dyaOrig="400">
          <v:shape id="_x0000_i1035" type="#_x0000_t75" style="width:20.05pt;height:18.8pt" o:ole="">
            <v:imagedata r:id="rId28" o:title=""/>
          </v:shape>
          <o:OLEObject Type="Embed" ProgID="Equation.3" ShapeID="_x0000_i1035" DrawAspect="Content" ObjectID="_1521026853" r:id="rId29"/>
        </w:object>
      </w:r>
      <w:r w:rsidRPr="00991224">
        <w:t xml:space="preserve">is the location vector of transmit antenna element </w:t>
      </w:r>
      <w:r w:rsidRPr="00991224">
        <w:rPr>
          <w:i/>
        </w:rPr>
        <w:t>s</w:t>
      </w:r>
      <w:r w:rsidRPr="00991224">
        <w:t xml:space="preserve">, </w:t>
      </w:r>
      <w:r w:rsidRPr="00991224">
        <w:rPr>
          <w:rFonts w:ascii="Symbol" w:hAnsi="Symbol"/>
          <w:i/>
        </w:rPr>
        <w:t></w:t>
      </w:r>
      <w:r w:rsidRPr="00991224">
        <w:rPr>
          <w:i/>
          <w:vertAlign w:val="subscript"/>
        </w:rPr>
        <w:t>n,m</w:t>
      </w:r>
      <w:r w:rsidRPr="00991224">
        <w:t xml:space="preserve"> is the cross polarisation power ratio in linear scale, and </w:t>
      </w:r>
      <w:r w:rsidRPr="00991224">
        <w:rPr>
          <w:rFonts w:ascii="Symbol" w:hAnsi="Symbol"/>
          <w:i/>
        </w:rPr>
        <w:t></w:t>
      </w:r>
      <w:r w:rsidRPr="00991224">
        <w:rPr>
          <w:vertAlign w:val="subscript"/>
        </w:rPr>
        <w:t>0</w:t>
      </w:r>
      <w:r w:rsidRPr="00991224">
        <w:t xml:space="preserve"> is the wavelength of the carrier frequency. If polarisation is not considered, the 2x2 polarisation matrix can be replaced by the scalar </w:t>
      </w:r>
      <w:r w:rsidRPr="00991224">
        <w:rPr>
          <w:position w:val="-14"/>
        </w:rPr>
        <w:object w:dxaOrig="1100" w:dyaOrig="400">
          <v:shape id="_x0000_i1036" type="#_x0000_t75" style="width:47.6pt;height:17.55pt" o:ole="">
            <v:imagedata r:id="rId30" o:title=""/>
          </v:shape>
          <o:OLEObject Type="Embed" ProgID="Equation.3" ShapeID="_x0000_i1036" DrawAspect="Content" ObjectID="_1521026854" r:id="rId31"/>
        </w:object>
      </w:r>
      <w:r w:rsidRPr="00991224">
        <w:t xml:space="preserve"> and only vertically polarised field patterns are applied.</w:t>
      </w:r>
    </w:p>
    <w:p w:rsidR="00632F61" w:rsidRPr="00991224" w:rsidRDefault="00632F61" w:rsidP="00632F61">
      <w:pPr>
        <w:pBdr>
          <w:top w:val="single" w:sz="4" w:space="1" w:color="auto"/>
          <w:left w:val="single" w:sz="4" w:space="4" w:color="auto"/>
          <w:bottom w:val="single" w:sz="4" w:space="1" w:color="auto"/>
          <w:right w:val="single" w:sz="4" w:space="4" w:color="auto"/>
        </w:pBdr>
        <w:ind w:left="1304"/>
      </w:pPr>
      <w:r w:rsidRPr="00991224">
        <w:lastRenderedPageBreak/>
        <w:t xml:space="preserve">The Doppler frequency component </w:t>
      </w:r>
      <w:r w:rsidRPr="00991224">
        <w:rPr>
          <w:i/>
        </w:rPr>
        <w:t>v</w:t>
      </w:r>
      <w:r w:rsidRPr="00991224">
        <w:rPr>
          <w:i/>
          <w:vertAlign w:val="subscript"/>
        </w:rPr>
        <w:t>n,m</w:t>
      </w:r>
      <w:r w:rsidRPr="00991224">
        <w:t xml:space="preserve"> is calculated from the arrival angles (AOA, ZOA), UT velocity vector </w:t>
      </w:r>
      <w:r w:rsidRPr="00991224">
        <w:rPr>
          <w:position w:val="-6"/>
        </w:rPr>
        <w:object w:dxaOrig="200" w:dyaOrig="260">
          <v:shape id="_x0000_i1037" type="#_x0000_t75" style="width:9.4pt;height:11.9pt" o:ole="">
            <v:imagedata r:id="rId32" o:title=""/>
          </v:shape>
          <o:OLEObject Type="Embed" ProgID="Equation.3" ShapeID="_x0000_i1037" DrawAspect="Content" ObjectID="_1521026855" r:id="rId33"/>
        </w:object>
      </w:r>
      <w:r w:rsidRPr="00991224">
        <w:t xml:space="preserve">with speed </w:t>
      </w:r>
      <w:r w:rsidRPr="00991224">
        <w:rPr>
          <w:i/>
        </w:rPr>
        <w:t>v</w:t>
      </w:r>
      <w:r w:rsidRPr="00991224">
        <w:t xml:space="preserve">, travel azimuth angle </w:t>
      </w:r>
      <w:r w:rsidRPr="00991224">
        <w:rPr>
          <w:i/>
        </w:rPr>
        <w:t>ϕ</w:t>
      </w:r>
      <w:r w:rsidRPr="00991224">
        <w:rPr>
          <w:i/>
          <w:vertAlign w:val="subscript"/>
        </w:rPr>
        <w:t>v</w:t>
      </w:r>
      <w:r w:rsidRPr="00991224">
        <w:t xml:space="preserve">, elevation angle </w:t>
      </w:r>
      <w:r w:rsidRPr="00991224">
        <w:rPr>
          <w:i/>
        </w:rPr>
        <w:t>θ</w:t>
      </w:r>
      <w:r w:rsidRPr="00991224">
        <w:rPr>
          <w:i/>
          <w:vertAlign w:val="subscript"/>
        </w:rPr>
        <w:t>v</w:t>
      </w:r>
      <w:r w:rsidRPr="00991224">
        <w:t xml:space="preserve"> and is given by </w:t>
      </w:r>
    </w:p>
    <w:p w:rsidR="00632F61" w:rsidRPr="00632F61" w:rsidRDefault="00632F61" w:rsidP="00632F61">
      <w:pPr>
        <w:pStyle w:val="BodyText"/>
        <w:pBdr>
          <w:top w:val="single" w:sz="4" w:space="1" w:color="auto"/>
          <w:left w:val="single" w:sz="4" w:space="4" w:color="auto"/>
          <w:bottom w:val="single" w:sz="4" w:space="1" w:color="auto"/>
          <w:right w:val="single" w:sz="4" w:space="4" w:color="auto"/>
        </w:pBdr>
        <w:ind w:left="1304"/>
      </w:pPr>
      <w:r w:rsidRPr="00991224">
        <w:object w:dxaOrig="6100" w:dyaOrig="740">
          <v:shape id="_x0000_i1038" type="#_x0000_t75" style="width:304.9pt;height:36.95pt" o:ole="">
            <v:imagedata r:id="rId34" o:title=""/>
          </v:shape>
          <o:OLEObject Type="Embed" ProgID="Equation.3" ShapeID="_x0000_i1038" DrawAspect="Content" ObjectID="_1521026856" r:id="rId35"/>
        </w:object>
      </w:r>
      <w:r w:rsidRPr="00991224">
        <w:t>,</w:t>
      </w:r>
      <w:r w:rsidRPr="00991224">
        <w:tab/>
        <w:t>(</w:t>
      </w:r>
      <w:r>
        <w:t>7.</w:t>
      </w:r>
      <w:r w:rsidRPr="00991224">
        <w:t>24</w:t>
      </w:r>
    </w:p>
    <w:p w:rsidR="00632F61" w:rsidRDefault="009F3C7A" w:rsidP="00A55C73">
      <w:pPr>
        <w:pStyle w:val="BodyText"/>
      </w:pPr>
      <w:r>
        <w:t>The spatial consistency modeling will make the DoDs and DoAs {</w:t>
      </w:r>
      <w:r w:rsidRPr="009F3C7A">
        <w:rPr>
          <w:i/>
        </w:rPr>
        <w:t xml:space="preserve"> </w:t>
      </w:r>
      <w:r w:rsidRPr="00991224">
        <w:rPr>
          <w:i/>
        </w:rPr>
        <w:t>ϕ</w:t>
      </w:r>
      <w:r w:rsidRPr="00991224">
        <w:rPr>
          <w:i/>
          <w:vertAlign w:val="subscript"/>
        </w:rPr>
        <w:t>n,m,AOA</w:t>
      </w:r>
      <w:r w:rsidRPr="00991224">
        <w:t xml:space="preserve"> </w:t>
      </w:r>
      <w:r>
        <w:t>,</w:t>
      </w:r>
      <w:r w:rsidRPr="009F3C7A">
        <w:rPr>
          <w:i/>
        </w:rPr>
        <w:t xml:space="preserve"> </w:t>
      </w:r>
      <w:r w:rsidRPr="00991224">
        <w:rPr>
          <w:i/>
        </w:rPr>
        <w:t>θ</w:t>
      </w:r>
      <w:r w:rsidRPr="00991224">
        <w:rPr>
          <w:i/>
          <w:vertAlign w:val="subscript"/>
        </w:rPr>
        <w:t>n,m,ZOA</w:t>
      </w:r>
      <w:r>
        <w:rPr>
          <w:i/>
          <w:vertAlign w:val="subscript"/>
        </w:rPr>
        <w:t>,</w:t>
      </w:r>
      <w:r w:rsidRPr="009F3C7A">
        <w:rPr>
          <w:i/>
        </w:rPr>
        <w:t xml:space="preserve"> </w:t>
      </w:r>
      <w:r w:rsidRPr="00991224">
        <w:rPr>
          <w:i/>
        </w:rPr>
        <w:t>ϕ</w:t>
      </w:r>
      <w:r w:rsidRPr="00991224">
        <w:rPr>
          <w:i/>
          <w:vertAlign w:val="subscript"/>
        </w:rPr>
        <w:t>n,m,AOA</w:t>
      </w:r>
      <w:r w:rsidRPr="00991224">
        <w:t xml:space="preserve"> </w:t>
      </w:r>
      <w:r>
        <w:t>,</w:t>
      </w:r>
      <w:r w:rsidRPr="009F3C7A">
        <w:rPr>
          <w:i/>
        </w:rPr>
        <w:t xml:space="preserve"> </w:t>
      </w:r>
      <w:r w:rsidRPr="00991224">
        <w:rPr>
          <w:i/>
        </w:rPr>
        <w:t>θ</w:t>
      </w:r>
      <w:r w:rsidRPr="00991224">
        <w:rPr>
          <w:i/>
          <w:vertAlign w:val="subscript"/>
        </w:rPr>
        <w:t>n,m,ZOA</w:t>
      </w:r>
      <w:r>
        <w:t xml:space="preserve"> } time varying. As can be seen from the equations above this will cause the unit vectors given by equations (7.22) and (7.23) to also become time varying, which in turn will result in a time-varying Doppler frequency component </w:t>
      </w:r>
      <w:r w:rsidRPr="00991224">
        <w:rPr>
          <w:i/>
        </w:rPr>
        <w:t>v</w:t>
      </w:r>
      <w:r w:rsidRPr="00991224">
        <w:rPr>
          <w:i/>
          <w:vertAlign w:val="subscript"/>
        </w:rPr>
        <w:t>n,m</w:t>
      </w:r>
      <w:r w:rsidR="00B17B54">
        <w:t xml:space="preserve">(t) </w:t>
      </w:r>
      <w:r>
        <w:t xml:space="preserve">according to (7.24). Since in (7.21) contains a factor </w:t>
      </w:r>
      <m:oMath>
        <m:r>
          <w:rPr>
            <w:rFonts w:ascii="Cambria Math" w:hAnsi="Cambria Math"/>
          </w:rPr>
          <m:t>exp</m:t>
        </m:r>
        <m:d>
          <m:dPr>
            <m:ctrlPr>
              <w:rPr>
                <w:rFonts w:ascii="Cambria Math" w:hAnsi="Cambria Math"/>
                <w:i/>
              </w:rPr>
            </m:ctrlPr>
          </m:dPr>
          <m:e>
            <m:r>
              <w:rPr>
                <w:rFonts w:ascii="Cambria Math" w:hAnsi="Cambria Math"/>
              </w:rPr>
              <m:t>j2π</m:t>
            </m:r>
            <m:sSub>
              <m:sSubPr>
                <m:ctrlPr>
                  <w:rPr>
                    <w:rFonts w:ascii="Cambria Math" w:hAnsi="Cambria Math"/>
                    <w:i/>
                  </w:rPr>
                </m:ctrlPr>
              </m:sSubPr>
              <m:e>
                <m:r>
                  <w:rPr>
                    <w:rFonts w:ascii="Cambria Math" w:hAnsi="Cambria Math"/>
                  </w:rPr>
                  <m:t>υ</m:t>
                </m:r>
              </m:e>
              <m:sub>
                <m:r>
                  <w:rPr>
                    <w:rFonts w:ascii="Cambria Math" w:hAnsi="Cambria Math"/>
                  </w:rPr>
                  <m:t>n,m</m:t>
                </m:r>
              </m:sub>
            </m:sSub>
            <m:r>
              <w:rPr>
                <w:rFonts w:ascii="Cambria Math" w:hAnsi="Cambria Math"/>
              </w:rPr>
              <m:t>t</m:t>
            </m:r>
          </m:e>
        </m:d>
      </m:oMath>
      <w:r>
        <w:t xml:space="preserve"> where the time </w:t>
      </w:r>
      <w:r w:rsidR="00B17B54">
        <w:t xml:space="preserve">t </w:t>
      </w:r>
      <w:r>
        <w:t xml:space="preserve">could </w:t>
      </w:r>
      <w:r w:rsidR="00B17B54">
        <w:t xml:space="preserve">take on arbitrarily </w:t>
      </w:r>
      <w:r>
        <w:t>large</w:t>
      </w:r>
      <w:r w:rsidR="00B17B54">
        <w:t xml:space="preserve"> values</w:t>
      </w:r>
      <w:r>
        <w:t xml:space="preserve">, even a small change in the Doppler frequency </w:t>
      </w:r>
      <w:r w:rsidRPr="00991224">
        <w:rPr>
          <w:i/>
        </w:rPr>
        <w:t>v</w:t>
      </w:r>
      <w:r w:rsidRPr="00991224">
        <w:rPr>
          <w:i/>
          <w:vertAlign w:val="subscript"/>
        </w:rPr>
        <w:t>n,m</w:t>
      </w:r>
      <w:r>
        <w:t xml:space="preserve"> can cause a very large phase shift</w:t>
      </w:r>
      <w:r w:rsidR="00B17B54">
        <w:t xml:space="preserve"> which would be observed as an extremely high Doppler spread in the resulting channel coefficients.</w:t>
      </w:r>
      <w:r w:rsidR="00BC6C12">
        <w:t xml:space="preserve"> Recall that the Doppler frequency can be determined from the time derivative of the phase shift: </w:t>
      </w:r>
      <m:oMath>
        <m:sSub>
          <m:sSubPr>
            <m:ctrlPr>
              <w:rPr>
                <w:rFonts w:ascii="Cambria Math" w:hAnsi="Cambria Math"/>
                <w:i/>
              </w:rPr>
            </m:ctrlPr>
          </m:sSubPr>
          <m:e>
            <m:r>
              <w:rPr>
                <w:rFonts w:ascii="Cambria Math" w:hAnsi="Cambria Math"/>
              </w:rPr>
              <m:t>f</m:t>
            </m:r>
          </m:e>
          <m:sub>
            <m:r>
              <w:rPr>
                <w:rFonts w:ascii="Cambria Math" w:hAnsi="Cambria Math"/>
              </w:rPr>
              <m:t>D,n,m</m:t>
            </m:r>
          </m:sub>
        </m:sSub>
        <m:r>
          <w:rPr>
            <w:rFonts w:ascii="Cambria Math" w:hAnsi="Cambria Math"/>
          </w:rPr>
          <m:t>=</m:t>
        </m:r>
        <m:f>
          <m:fPr>
            <m:ctrlPr>
              <w:rPr>
                <w:rFonts w:ascii="Cambria Math" w:hAnsi="Cambria Math"/>
                <w:i/>
              </w:rPr>
            </m:ctrlPr>
          </m:fPr>
          <m:num>
            <m:r>
              <w:rPr>
                <w:rFonts w:ascii="Cambria Math" w:hAnsi="Cambria Math"/>
              </w:rPr>
              <m:t>d</m:t>
            </m:r>
          </m:num>
          <m:den>
            <m:r>
              <w:rPr>
                <w:rFonts w:ascii="Cambria Math" w:hAnsi="Cambria Math"/>
              </w:rPr>
              <m:t>dt</m:t>
            </m:r>
          </m:den>
        </m:f>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υ</m:t>
                </m:r>
              </m:e>
              <m:sub>
                <m:r>
                  <w:rPr>
                    <w:rFonts w:ascii="Cambria Math" w:hAnsi="Cambria Math"/>
                  </w:rPr>
                  <m:t>n,m</m:t>
                </m:r>
              </m:sub>
            </m:sSub>
            <m:d>
              <m:dPr>
                <m:ctrlPr>
                  <w:rPr>
                    <w:rFonts w:ascii="Cambria Math" w:hAnsi="Cambria Math"/>
                    <w:i/>
                  </w:rPr>
                </m:ctrlPr>
              </m:dPr>
              <m:e>
                <m:r>
                  <w:rPr>
                    <w:rFonts w:ascii="Cambria Math" w:hAnsi="Cambria Math"/>
                  </w:rPr>
                  <m:t>t</m:t>
                </m:r>
              </m:e>
            </m:d>
            <m:r>
              <w:rPr>
                <w:rFonts w:ascii="Cambria Math" w:hAnsi="Cambria Math"/>
              </w:rPr>
              <m:t>⋅t</m:t>
            </m:r>
          </m:e>
        </m:d>
      </m:oMath>
      <w:r w:rsidR="00BC6C12">
        <w:t xml:space="preserve"> which results in </w:t>
      </w:r>
      <m:oMath>
        <m:sSub>
          <m:sSubPr>
            <m:ctrlPr>
              <w:rPr>
                <w:rFonts w:ascii="Cambria Math" w:hAnsi="Cambria Math"/>
                <w:i/>
              </w:rPr>
            </m:ctrlPr>
          </m:sSubPr>
          <m:e>
            <m:r>
              <w:rPr>
                <w:rFonts w:ascii="Cambria Math" w:hAnsi="Cambria Math"/>
              </w:rPr>
              <m:t>f</m:t>
            </m:r>
          </m:e>
          <m:sub>
            <m:r>
              <w:rPr>
                <w:rFonts w:ascii="Cambria Math" w:hAnsi="Cambria Math"/>
              </w:rPr>
              <m:t>D,n,m</m:t>
            </m:r>
          </m:sub>
        </m:sSub>
        <m:r>
          <w:rPr>
            <w:rFonts w:ascii="Cambria Math" w:hAnsi="Cambria Math"/>
          </w:rPr>
          <m:t>=2π</m:t>
        </m:r>
        <m:sSub>
          <m:sSubPr>
            <m:ctrlPr>
              <w:rPr>
                <w:rFonts w:ascii="Cambria Math" w:hAnsi="Cambria Math"/>
                <w:i/>
              </w:rPr>
            </m:ctrlPr>
          </m:sSubPr>
          <m:e>
            <m:r>
              <w:rPr>
                <w:rFonts w:ascii="Cambria Math" w:hAnsi="Cambria Math"/>
              </w:rPr>
              <m:t>υ</m:t>
            </m:r>
          </m:e>
          <m:sub>
            <m:r>
              <w:rPr>
                <w:rFonts w:ascii="Cambria Math" w:hAnsi="Cambria Math"/>
              </w:rPr>
              <m:t>n,m</m:t>
            </m:r>
          </m:sub>
        </m:sSub>
      </m:oMath>
      <w:r w:rsidR="00BC6C12">
        <w:t xml:space="preserve"> for stationary angles but </w:t>
      </w:r>
      <m:oMath>
        <m:sSub>
          <m:sSubPr>
            <m:ctrlPr>
              <w:rPr>
                <w:rFonts w:ascii="Cambria Math" w:hAnsi="Cambria Math"/>
                <w:i/>
              </w:rPr>
            </m:ctrlPr>
          </m:sSubPr>
          <m:e>
            <m:r>
              <w:rPr>
                <w:rFonts w:ascii="Cambria Math" w:hAnsi="Cambria Math"/>
              </w:rPr>
              <m:t>f</m:t>
            </m:r>
          </m:e>
          <m:sub>
            <m:r>
              <w:rPr>
                <w:rFonts w:ascii="Cambria Math" w:hAnsi="Cambria Math"/>
              </w:rPr>
              <m:t>D,n,m</m:t>
            </m:r>
          </m:sub>
        </m:sSub>
        <m:r>
          <w:rPr>
            <w:rFonts w:ascii="Cambria Math" w:hAnsi="Cambria Math"/>
          </w:rPr>
          <m:t>=t⋅2π</m:t>
        </m:r>
        <m:sSub>
          <m:sSubPr>
            <m:ctrlPr>
              <w:rPr>
                <w:rFonts w:ascii="Cambria Math" w:hAnsi="Cambria Math"/>
                <w:i/>
              </w:rPr>
            </m:ctrlPr>
          </m:sSubPr>
          <m:e>
            <m:r>
              <w:rPr>
                <w:rFonts w:ascii="Cambria Math" w:hAnsi="Cambria Math"/>
              </w:rPr>
              <m:t>υ</m:t>
            </m:r>
          </m:e>
          <m:sub>
            <m:r>
              <w:rPr>
                <w:rFonts w:ascii="Cambria Math" w:hAnsi="Cambria Math"/>
              </w:rPr>
              <m:t>n,m</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d</m:t>
            </m:r>
          </m:num>
          <m:den>
            <m:r>
              <w:rPr>
                <w:rFonts w:ascii="Cambria Math" w:hAnsi="Cambria Math"/>
              </w:rPr>
              <m:t>dt</m:t>
            </m:r>
          </m:den>
        </m:f>
        <m:d>
          <m:dPr>
            <m:ctrlPr>
              <w:rPr>
                <w:rFonts w:ascii="Cambria Math" w:hAnsi="Cambria Math"/>
                <w:i/>
              </w:rPr>
            </m:ctrlPr>
          </m:dPr>
          <m:e>
            <m:r>
              <w:rPr>
                <w:rFonts w:ascii="Cambria Math" w:hAnsi="Cambria Math"/>
              </w:rPr>
              <m:t>2π</m:t>
            </m:r>
            <m:sSub>
              <m:sSubPr>
                <m:ctrlPr>
                  <w:rPr>
                    <w:rFonts w:ascii="Cambria Math" w:hAnsi="Cambria Math"/>
                    <w:i/>
                  </w:rPr>
                </m:ctrlPr>
              </m:sSubPr>
              <m:e>
                <m:r>
                  <w:rPr>
                    <w:rFonts w:ascii="Cambria Math" w:hAnsi="Cambria Math"/>
                  </w:rPr>
                  <m:t>υ</m:t>
                </m:r>
              </m:e>
              <m:sub>
                <m:r>
                  <w:rPr>
                    <w:rFonts w:ascii="Cambria Math" w:hAnsi="Cambria Math"/>
                  </w:rPr>
                  <m:t>n,m</m:t>
                </m:r>
              </m:sub>
            </m:sSub>
            <m:d>
              <m:dPr>
                <m:ctrlPr>
                  <w:rPr>
                    <w:rFonts w:ascii="Cambria Math" w:hAnsi="Cambria Math"/>
                    <w:i/>
                  </w:rPr>
                </m:ctrlPr>
              </m:dPr>
              <m:e>
                <m:r>
                  <w:rPr>
                    <w:rFonts w:ascii="Cambria Math" w:hAnsi="Cambria Math"/>
                  </w:rPr>
                  <m:t>t</m:t>
                </m:r>
              </m:e>
            </m:d>
          </m:e>
        </m:d>
      </m:oMath>
      <w:r w:rsidR="00BC6C12">
        <w:t xml:space="preserve"> when the angles are non-stationary. Note that the Doppler frequency is scaled with </w:t>
      </w:r>
      <m:oMath>
        <m:r>
          <w:rPr>
            <w:rFonts w:ascii="Cambria Math" w:hAnsi="Cambria Math"/>
          </w:rPr>
          <m:t>t</m:t>
        </m:r>
      </m:oMath>
      <w:r w:rsidR="00901329">
        <w:t xml:space="preserve"> in the first term</w:t>
      </w:r>
      <w:r w:rsidR="00BC6C12">
        <w:t>!</w:t>
      </w:r>
    </w:p>
    <w:p w:rsidR="00B17B54" w:rsidRPr="00B17B54" w:rsidRDefault="00B17B54" w:rsidP="00A55C73">
      <w:pPr>
        <w:pStyle w:val="BodyText"/>
        <w:rPr>
          <w:b/>
        </w:rPr>
      </w:pPr>
      <w:r w:rsidRPr="00B17B54">
        <w:rPr>
          <w:b/>
        </w:rPr>
        <w:t xml:space="preserve">Observation: The current channel coefficient generation procedure in </w:t>
      </w:r>
      <w:r>
        <w:rPr>
          <w:b/>
        </w:rPr>
        <w:t xml:space="preserve">the 3D SCM model </w:t>
      </w:r>
      <w:r>
        <w:rPr>
          <w:b/>
        </w:rPr>
        <w:fldChar w:fldCharType="begin"/>
      </w:r>
      <w:r>
        <w:rPr>
          <w:b/>
        </w:rPr>
        <w:instrText xml:space="preserve"> REF _Ref447143493 \r \h </w:instrText>
      </w:r>
      <w:r>
        <w:rPr>
          <w:b/>
        </w:rPr>
      </w:r>
      <w:r>
        <w:rPr>
          <w:b/>
        </w:rPr>
        <w:fldChar w:fldCharType="separate"/>
      </w:r>
      <w:r>
        <w:rPr>
          <w:b/>
        </w:rPr>
        <w:t>[2]</w:t>
      </w:r>
      <w:r>
        <w:rPr>
          <w:b/>
        </w:rPr>
        <w:fldChar w:fldCharType="end"/>
      </w:r>
      <w:r w:rsidRPr="00B17B54">
        <w:rPr>
          <w:b/>
        </w:rPr>
        <w:t xml:space="preserve"> is not compatible with time-varying angles since unphysical</w:t>
      </w:r>
      <w:r>
        <w:rPr>
          <w:b/>
        </w:rPr>
        <w:t>ly high</w:t>
      </w:r>
      <w:r w:rsidRPr="00B17B54">
        <w:rPr>
          <w:b/>
        </w:rPr>
        <w:t xml:space="preserve"> Doppler spreads may be generated</w:t>
      </w:r>
    </w:p>
    <w:p w:rsidR="00022E81" w:rsidRPr="00022E81" w:rsidRDefault="00491BB9" w:rsidP="004A619D">
      <w:pPr>
        <w:pStyle w:val="Heading1"/>
        <w:rPr>
          <w:lang w:val="en-GB"/>
        </w:rPr>
      </w:pPr>
      <w:bookmarkStart w:id="4" w:name="_Ref447206880"/>
      <w:r>
        <w:rPr>
          <w:lang w:val="en-GB"/>
        </w:rPr>
        <w:t>Discussion</w:t>
      </w:r>
      <w:bookmarkEnd w:id="4"/>
    </w:p>
    <w:p w:rsidR="00B17B54" w:rsidRDefault="00B17B54" w:rsidP="00022E81">
      <w:pPr>
        <w:pStyle w:val="BodyText"/>
      </w:pPr>
      <w:r>
        <w:t>A simple correction would be to rewrite the Doppler factor in equation (7.21) into the following form:</w:t>
      </w:r>
    </w:p>
    <w:p w:rsidR="00B17B54" w:rsidRDefault="00CD574B" w:rsidP="00B17B54">
      <w:pPr>
        <w:pStyle w:val="BodyText"/>
      </w:pPr>
      <m:oMathPara>
        <m:oMath>
          <m:r>
            <w:rPr>
              <w:rFonts w:ascii="Cambria Math" w:hAnsi="Cambria Math"/>
            </w:rPr>
            <m:t>exp</m:t>
          </m:r>
          <m:d>
            <m:dPr>
              <m:ctrlPr>
                <w:rPr>
                  <w:rFonts w:ascii="Cambria Math" w:hAnsi="Cambria Math"/>
                  <w:i/>
                </w:rPr>
              </m:ctrlPr>
            </m:dPr>
            <m:e>
              <m:r>
                <w:rPr>
                  <w:rFonts w:ascii="Cambria Math" w:hAnsi="Cambria Math"/>
                </w:rPr>
                <m:t>j2π</m:t>
              </m:r>
              <m:sSub>
                <m:sSubPr>
                  <m:ctrlPr>
                    <w:rPr>
                      <w:rFonts w:ascii="Cambria Math" w:hAnsi="Cambria Math"/>
                      <w:i/>
                    </w:rPr>
                  </m:ctrlPr>
                </m:sSubPr>
                <m:e>
                  <m:r>
                    <w:rPr>
                      <w:rFonts w:ascii="Cambria Math" w:hAnsi="Cambria Math"/>
                    </w:rPr>
                    <m:t>υ</m:t>
                  </m:r>
                </m:e>
                <m:sub>
                  <m:r>
                    <w:rPr>
                      <w:rFonts w:ascii="Cambria Math" w:hAnsi="Cambria Math"/>
                    </w:rPr>
                    <m:t>n,m</m:t>
                  </m:r>
                </m:sub>
              </m:sSub>
              <m:d>
                <m:dPr>
                  <m:ctrlPr>
                    <w:rPr>
                      <w:rFonts w:ascii="Cambria Math" w:hAnsi="Cambria Math"/>
                      <w:i/>
                    </w:rPr>
                  </m:ctrlPr>
                </m:dPr>
                <m:e>
                  <m:r>
                    <w:rPr>
                      <w:rFonts w:ascii="Cambria Math" w:hAnsi="Cambria Math"/>
                    </w:rPr>
                    <m:t>t</m:t>
                  </m:r>
                </m:e>
              </m:d>
              <m:r>
                <w:rPr>
                  <w:rFonts w:ascii="Cambria Math" w:hAnsi="Cambria Math"/>
                </w:rPr>
                <m:t>⋅t</m:t>
              </m:r>
            </m:e>
          </m:d>
          <m:r>
            <w:rPr>
              <w:rFonts w:ascii="Cambria Math" w:hAnsi="Cambria Math"/>
            </w:rPr>
            <m:t>=exp</m:t>
          </m:r>
          <m:d>
            <m:dPr>
              <m:ctrlPr>
                <w:rPr>
                  <w:rFonts w:ascii="Cambria Math" w:hAnsi="Cambria Math"/>
                  <w:i/>
                </w:rPr>
              </m:ctrlPr>
            </m:dPr>
            <m:e>
              <m:r>
                <w:rPr>
                  <w:rFonts w:ascii="Cambria Math" w:hAnsi="Cambria Math"/>
                </w:rPr>
                <m:t>j2π</m:t>
              </m:r>
              <m:sSub>
                <m:sSubPr>
                  <m:ctrlPr>
                    <w:rPr>
                      <w:rFonts w:ascii="Cambria Math" w:hAnsi="Cambria Math"/>
                      <w:i/>
                    </w:rPr>
                  </m:ctrlPr>
                </m:sSubPr>
                <m:e>
                  <m:r>
                    <w:rPr>
                      <w:rFonts w:ascii="Cambria Math" w:hAnsi="Cambria Math"/>
                    </w:rPr>
                    <m:t>υ</m:t>
                  </m:r>
                </m:e>
                <m:sub>
                  <m:r>
                    <w:rPr>
                      <w:rFonts w:ascii="Cambria Math" w:hAnsi="Cambria Math"/>
                    </w:rPr>
                    <m:t>n,m</m:t>
                  </m:r>
                </m:sub>
              </m:sSub>
              <m:d>
                <m:dPr>
                  <m:ctrlPr>
                    <w:rPr>
                      <w:rFonts w:ascii="Cambria Math" w:hAnsi="Cambria Math"/>
                      <w:i/>
                    </w:rPr>
                  </m:ctrlPr>
                </m:dPr>
                <m:e>
                  <m:r>
                    <w:rPr>
                      <w:rFonts w:ascii="Cambria Math" w:hAnsi="Cambria Math"/>
                    </w:rPr>
                    <m:t>t</m:t>
                  </m:r>
                </m:e>
              </m:d>
              <m:r>
                <w:rPr>
                  <w:rFonts w:ascii="Cambria Math" w:hAnsi="Cambria Math"/>
                </w:rPr>
                <m:t>⋅</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i</m:t>
                      </m:r>
                    </m:sub>
                  </m:sSub>
                </m:e>
              </m:d>
            </m:e>
          </m:d>
          <m:r>
            <w:rPr>
              <w:rFonts w:ascii="Cambria Math" w:hAnsi="Cambria Math"/>
            </w:rPr>
            <m:t>exp</m:t>
          </m:r>
          <m:d>
            <m:dPr>
              <m:ctrlPr>
                <w:rPr>
                  <w:rFonts w:ascii="Cambria Math" w:hAnsi="Cambria Math"/>
                  <w:i/>
                </w:rPr>
              </m:ctrlPr>
            </m:dPr>
            <m:e>
              <m:r>
                <w:rPr>
                  <w:rFonts w:ascii="Cambria Math" w:hAnsi="Cambria Math"/>
                </w:rPr>
                <m:t>j2π</m:t>
              </m:r>
              <m:sSub>
                <m:sSubPr>
                  <m:ctrlPr>
                    <w:rPr>
                      <w:rFonts w:ascii="Cambria Math" w:hAnsi="Cambria Math"/>
                      <w:i/>
                    </w:rPr>
                  </m:ctrlPr>
                </m:sSubPr>
                <m:e>
                  <m:r>
                    <w:rPr>
                      <w:rFonts w:ascii="Cambria Math" w:hAnsi="Cambria Math"/>
                    </w:rPr>
                    <m:t>υ</m:t>
                  </m:r>
                </m:e>
                <m:sub>
                  <m:r>
                    <w:rPr>
                      <w:rFonts w:ascii="Cambria Math" w:hAnsi="Cambria Math"/>
                    </w:rPr>
                    <m:t>n,m</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sSub>
                <m:sSubPr>
                  <m:ctrlPr>
                    <w:rPr>
                      <w:rFonts w:ascii="Cambria Math" w:hAnsi="Cambria Math"/>
                      <w:i/>
                    </w:rPr>
                  </m:ctrlPr>
                </m:sSubPr>
                <m:e>
                  <m:r>
                    <w:rPr>
                      <w:rFonts w:ascii="Cambria Math" w:hAnsi="Cambria Math"/>
                    </w:rPr>
                    <m:t>⋅t</m:t>
                  </m:r>
                </m:e>
                <m:sub>
                  <m:r>
                    <w:rPr>
                      <w:rFonts w:ascii="Cambria Math" w:hAnsi="Cambria Math"/>
                    </w:rPr>
                    <m:t>i</m:t>
                  </m:r>
                </m:sub>
              </m:sSub>
            </m:e>
          </m:d>
        </m:oMath>
      </m:oMathPara>
    </w:p>
    <w:p w:rsidR="00B17B54" w:rsidRDefault="00CD574B" w:rsidP="00022E81">
      <w:pPr>
        <w:pStyle w:val="BodyText"/>
      </w:pPr>
      <w:r>
        <w:t xml:space="preserve">where the phase shift at time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t xml:space="preserve"> is established as an anchor point and an incremental phase shift is applied. The anchor point should be updated sufficiently often so that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υ</m:t>
                </m:r>
              </m:e>
              <m:sub>
                <m:r>
                  <w:rPr>
                    <w:rFonts w:ascii="Cambria Math" w:hAnsi="Cambria Math"/>
                  </w:rPr>
                  <m:t>n,m</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i+1</m:t>
                    </m:r>
                  </m:sub>
                </m:sSub>
              </m:e>
            </m:d>
            <m:r>
              <w:rPr>
                <w:rFonts w:ascii="Cambria Math" w:hAnsi="Cambria Math"/>
              </w:rPr>
              <m:t>-</m:t>
            </m:r>
            <m:sSub>
              <m:sSubPr>
                <m:ctrlPr>
                  <w:rPr>
                    <w:rFonts w:ascii="Cambria Math" w:hAnsi="Cambria Math"/>
                    <w:i/>
                  </w:rPr>
                </m:ctrlPr>
              </m:sSubPr>
              <m:e>
                <m:r>
                  <w:rPr>
                    <w:rFonts w:ascii="Cambria Math" w:hAnsi="Cambria Math"/>
                  </w:rPr>
                  <m:t>υ</m:t>
                </m:r>
              </m:e>
              <m:sub>
                <m:r>
                  <w:rPr>
                    <w:rFonts w:ascii="Cambria Math" w:hAnsi="Cambria Math"/>
                  </w:rPr>
                  <m:t>n,m</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e>
        </m:d>
        <m:r>
          <w:rPr>
            <w:rFonts w:ascii="Cambria Math" w:hAnsi="Cambria Math"/>
          </w:rPr>
          <m:t>≪1</m:t>
        </m:r>
      </m:oMath>
      <w:r>
        <w:t>.</w:t>
      </w:r>
    </w:p>
    <w:p w:rsidR="00022956" w:rsidRDefault="00022956" w:rsidP="00022956">
      <w:pPr>
        <w:pStyle w:val="BodyText"/>
      </w:pPr>
      <w:r>
        <w:rPr>
          <w:noProof/>
        </w:rPr>
        <w:drawing>
          <wp:inline distT="0" distB="0" distL="0" distR="0" wp14:anchorId="65083157" wp14:editId="0659CB93">
            <wp:extent cx="4420926" cy="3314476"/>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pler_phase.emf"/>
                    <pic:cNvPicPr/>
                  </pic:nvPicPr>
                  <pic:blipFill>
                    <a:blip r:embed="rId36">
                      <a:extLst>
                        <a:ext uri="{28A0092B-C50C-407E-A947-70E740481C1C}">
                          <a14:useLocalDpi xmlns:a14="http://schemas.microsoft.com/office/drawing/2010/main" val="0"/>
                        </a:ext>
                      </a:extLst>
                    </a:blip>
                    <a:stretch>
                      <a:fillRect/>
                    </a:stretch>
                  </pic:blipFill>
                  <pic:spPr>
                    <a:xfrm>
                      <a:off x="0" y="0"/>
                      <a:ext cx="4423004" cy="3316034"/>
                    </a:xfrm>
                    <a:prstGeom prst="rect">
                      <a:avLst/>
                    </a:prstGeom>
                  </pic:spPr>
                </pic:pic>
              </a:graphicData>
            </a:graphic>
          </wp:inline>
        </w:drawing>
      </w:r>
    </w:p>
    <w:p w:rsidR="00022956" w:rsidRDefault="00022956" w:rsidP="00022956">
      <w:pPr>
        <w:pStyle w:val="BodyText"/>
      </w:pPr>
      <w:r w:rsidRPr="00022956">
        <w:rPr>
          <w:rStyle w:val="Strong"/>
        </w:rPr>
        <w:t>Figure 1.</w:t>
      </w:r>
      <w:r>
        <w:t xml:space="preserve"> Illustration of Doppler phase shift, with and without the proposed fix to support time varying Doppler frequency component though anchor points. </w:t>
      </w:r>
    </w:p>
    <w:p w:rsidR="00022956" w:rsidRDefault="00022956" w:rsidP="00022956">
      <w:pPr>
        <w:pStyle w:val="BodyText"/>
      </w:pPr>
      <w:r>
        <w:t>Figure 1 illustrates the effect of Doppler phase shifts. Consider a wavelength of 0.15 m, a UE speed of 1 m/s along the tangent of a circle in the xy-plane, and assume the UE finishes one lap per 10 s. Without the proposed fix, the Doppler phase shift diverges over time and becomes unstable as the absolute time progress, while with the fix the desired bounded sinusoidal shape on the Doppler phase shift is obtained. Note that the similar effect would occur if the angle of incidence varies over time as the UE moves in space along a linear trajectory.</w:t>
      </w:r>
    </w:p>
    <w:p w:rsidR="00FE5799" w:rsidRDefault="00FE5799" w:rsidP="00FE5799">
      <w:pPr>
        <w:pStyle w:val="Heading1"/>
      </w:pPr>
      <w:r>
        <w:lastRenderedPageBreak/>
        <w:t>Conclusion</w:t>
      </w:r>
    </w:p>
    <w:p w:rsidR="00CD574B" w:rsidRDefault="00CD574B" w:rsidP="00F062F2">
      <w:pPr>
        <w:pStyle w:val="BodyText"/>
      </w:pPr>
      <w:r>
        <w:t>In order to maintain physical Doppler frequencies and phase continuity in the presence of time-varying angles, the following is proposed:</w:t>
      </w:r>
    </w:p>
    <w:p w:rsidR="00CD574B" w:rsidRPr="00491BB9" w:rsidRDefault="00792F9C" w:rsidP="00CD574B">
      <w:pPr>
        <w:pStyle w:val="BodyText"/>
      </w:pPr>
      <w:r w:rsidRPr="001D0503">
        <w:rPr>
          <w:b/>
        </w:rPr>
        <w:t xml:space="preserve">Proposal: </w:t>
      </w:r>
      <w:r w:rsidR="00CD574B">
        <w:rPr>
          <w:b/>
        </w:rPr>
        <w:t xml:space="preserve">Modify the equivalent of equation (7.21) in </w:t>
      </w:r>
      <w:r w:rsidR="00CD574B">
        <w:rPr>
          <w:b/>
        </w:rPr>
        <w:fldChar w:fldCharType="begin"/>
      </w:r>
      <w:r w:rsidR="00CD574B">
        <w:rPr>
          <w:b/>
        </w:rPr>
        <w:instrText xml:space="preserve"> REF _Ref447143493 \r \h </w:instrText>
      </w:r>
      <w:r w:rsidR="00CD574B">
        <w:rPr>
          <w:b/>
        </w:rPr>
      </w:r>
      <w:r w:rsidR="00CD574B">
        <w:rPr>
          <w:b/>
        </w:rPr>
        <w:fldChar w:fldCharType="separate"/>
      </w:r>
      <w:r w:rsidR="00CD574B">
        <w:rPr>
          <w:b/>
        </w:rPr>
        <w:t>[2]</w:t>
      </w:r>
      <w:r w:rsidR="00CD574B">
        <w:rPr>
          <w:b/>
        </w:rPr>
        <w:fldChar w:fldCharType="end"/>
      </w:r>
      <w:r w:rsidR="00CD574B">
        <w:rPr>
          <w:b/>
        </w:rPr>
        <w:t xml:space="preserve"> in the new model according to the suggestion in section </w:t>
      </w:r>
      <w:r w:rsidR="00CD574B">
        <w:rPr>
          <w:b/>
        </w:rPr>
        <w:fldChar w:fldCharType="begin"/>
      </w:r>
      <w:r w:rsidR="00CD574B">
        <w:rPr>
          <w:b/>
        </w:rPr>
        <w:instrText xml:space="preserve"> REF _Ref447206880 \r \h </w:instrText>
      </w:r>
      <w:r w:rsidR="00CD574B">
        <w:rPr>
          <w:b/>
        </w:rPr>
      </w:r>
      <w:r w:rsidR="00CD574B">
        <w:rPr>
          <w:b/>
        </w:rPr>
        <w:fldChar w:fldCharType="separate"/>
      </w:r>
      <w:r w:rsidR="00CD574B">
        <w:rPr>
          <w:b/>
        </w:rPr>
        <w:t>3</w:t>
      </w:r>
      <w:r w:rsidR="00CD574B">
        <w:rPr>
          <w:b/>
        </w:rPr>
        <w:fldChar w:fldCharType="end"/>
      </w:r>
      <w:r w:rsidR="00CD574B">
        <w:rPr>
          <w:b/>
        </w:rPr>
        <w:t xml:space="preserve">. </w:t>
      </w:r>
    </w:p>
    <w:p w:rsidR="004A619D" w:rsidRPr="00510266" w:rsidRDefault="004A619D" w:rsidP="004A619D">
      <w:pPr>
        <w:pStyle w:val="Heading1"/>
      </w:pPr>
      <w:r w:rsidRPr="00510266">
        <w:t>References</w:t>
      </w:r>
    </w:p>
    <w:p w:rsidR="00632F61" w:rsidRDefault="00632F61" w:rsidP="00632F61">
      <w:pPr>
        <w:numPr>
          <w:ilvl w:val="0"/>
          <w:numId w:val="2"/>
        </w:numPr>
        <w:jc w:val="both"/>
        <w:rPr>
          <w:szCs w:val="20"/>
          <w:lang w:val="it-IT"/>
        </w:rPr>
      </w:pPr>
      <w:bookmarkStart w:id="5" w:name="_Ref447204869"/>
      <w:bookmarkStart w:id="6" w:name="_Ref446057119"/>
      <w:bookmarkStart w:id="7" w:name="_Ref447198790"/>
      <w:r>
        <w:rPr>
          <w:szCs w:val="20"/>
          <w:lang w:val="it-IT"/>
        </w:rPr>
        <w:t xml:space="preserve">3GPP </w:t>
      </w:r>
      <w:r w:rsidRPr="00632F61">
        <w:rPr>
          <w:szCs w:val="20"/>
          <w:lang w:val="it-IT"/>
        </w:rPr>
        <w:t>R1-161726</w:t>
      </w:r>
      <w:r>
        <w:rPr>
          <w:szCs w:val="20"/>
          <w:lang w:val="it-IT"/>
        </w:rPr>
        <w:t>, “</w:t>
      </w:r>
      <w:r w:rsidRPr="00632F61">
        <w:rPr>
          <w:szCs w:val="20"/>
          <w:lang w:val="it-IT"/>
        </w:rPr>
        <w:t>WF on Spatial consistency</w:t>
      </w:r>
      <w:r>
        <w:rPr>
          <w:szCs w:val="20"/>
          <w:lang w:val="it-IT"/>
        </w:rPr>
        <w:t xml:space="preserve">”, </w:t>
      </w:r>
      <w:r w:rsidRPr="00632F61">
        <w:rPr>
          <w:szCs w:val="20"/>
          <w:lang w:val="it-IT"/>
        </w:rPr>
        <w:t>Intel Corporation, Ericsson, InterDigital, Nokia, ALU, ASB, Samsung, NTT DoCoMo</w:t>
      </w:r>
      <w:r>
        <w:rPr>
          <w:szCs w:val="20"/>
          <w:lang w:val="it-IT"/>
        </w:rPr>
        <w:t>, March 2016.</w:t>
      </w:r>
      <w:bookmarkEnd w:id="5"/>
    </w:p>
    <w:p w:rsidR="00B17B54" w:rsidRPr="00BA72EC" w:rsidRDefault="00B17B54" w:rsidP="00B17B54">
      <w:pPr>
        <w:numPr>
          <w:ilvl w:val="0"/>
          <w:numId w:val="2"/>
        </w:numPr>
        <w:jc w:val="both"/>
        <w:rPr>
          <w:szCs w:val="20"/>
          <w:lang w:val="it-IT"/>
        </w:rPr>
      </w:pPr>
      <w:bookmarkStart w:id="8" w:name="_Ref447143493"/>
      <w:r w:rsidRPr="00027425">
        <w:rPr>
          <w:szCs w:val="20"/>
          <w:lang w:val="it-IT"/>
        </w:rPr>
        <w:t>3GPP TR 36.873 “Study on 3D channel model for LTE”, v12.0.0, June 2015.</w:t>
      </w:r>
      <w:bookmarkEnd w:id="6"/>
      <w:bookmarkEnd w:id="7"/>
      <w:bookmarkEnd w:id="8"/>
    </w:p>
    <w:sectPr w:rsidR="00B17B54" w:rsidRPr="00BA72EC" w:rsidSect="00545EFB">
      <w:headerReference w:type="even" r:id="rId37"/>
      <w:headerReference w:type="default" r:id="rId38"/>
      <w:footerReference w:type="even" r:id="rId39"/>
      <w:footerReference w:type="default" r:id="rId40"/>
      <w:headerReference w:type="first" r:id="rId41"/>
      <w:footerReference w:type="first" r:id="rId42"/>
      <w:pgSz w:w="11906" w:h="16838"/>
      <w:pgMar w:top="1418"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0F0" w:rsidRDefault="009720F0">
      <w:r>
        <w:separator/>
      </w:r>
    </w:p>
  </w:endnote>
  <w:endnote w:type="continuationSeparator" w:id="0">
    <w:p w:rsidR="009720F0" w:rsidRDefault="00972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0F0" w:rsidRDefault="009720F0">
      <w:r>
        <w:separator/>
      </w:r>
    </w:p>
  </w:footnote>
  <w:footnote w:type="continuationSeparator" w:id="0">
    <w:p w:rsidR="009720F0" w:rsidRDefault="009720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9720F0"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F36D960"/>
    <w:lvl w:ilvl="0">
      <w:start w:val="1"/>
      <w:numFmt w:val="decimal"/>
      <w:lvlText w:val="%1"/>
      <w:lvlJc w:val="left"/>
      <w:pPr>
        <w:tabs>
          <w:tab w:val="num" w:pos="0"/>
        </w:tabs>
        <w:ind w:left="2551" w:hanging="1304"/>
      </w:pPr>
      <w:rPr>
        <w:strike w:val="0"/>
        <w:dstrike w:val="0"/>
        <w:u w:val="none"/>
        <w:effect w:val="none"/>
      </w:rPr>
    </w:lvl>
    <w:lvl w:ilvl="1">
      <w:start w:val="1"/>
      <w:numFmt w:val="decimal"/>
      <w:lvlText w:val="%1.%2"/>
      <w:lvlJc w:val="left"/>
      <w:pPr>
        <w:tabs>
          <w:tab w:val="num" w:pos="738"/>
        </w:tabs>
        <w:ind w:left="3289" w:hanging="1304"/>
      </w:pPr>
      <w:rPr>
        <w:strike w:val="0"/>
        <w:dstrike w:val="0"/>
        <w:u w:val="none"/>
        <w:effect w:val="none"/>
        <w:lang w:val="en-US"/>
      </w:rPr>
    </w:lvl>
    <w:lvl w:ilvl="2">
      <w:start w:val="1"/>
      <w:numFmt w:val="decimal"/>
      <w:lvlText w:val="%1.%2.%3"/>
      <w:lvlJc w:val="left"/>
      <w:pPr>
        <w:tabs>
          <w:tab w:val="num" w:pos="13"/>
        </w:tabs>
        <w:ind w:left="2564" w:hanging="1304"/>
      </w:pPr>
      <w:rPr>
        <w:strike w:val="0"/>
        <w:dstrike w:val="0"/>
        <w:u w:val="none"/>
        <w:effect w:val="none"/>
      </w:rPr>
    </w:lvl>
    <w:lvl w:ilvl="3">
      <w:start w:val="1"/>
      <w:numFmt w:val="decimal"/>
      <w:lvlText w:val="%1.%2.%3.%4"/>
      <w:lvlJc w:val="left"/>
      <w:pPr>
        <w:tabs>
          <w:tab w:val="num" w:pos="0"/>
        </w:tabs>
        <w:ind w:left="2551" w:hanging="1304"/>
      </w:pPr>
      <w:rPr>
        <w:strike w:val="0"/>
        <w:dstrike w:val="0"/>
        <w:u w:val="none"/>
        <w:effect w:val="none"/>
        <w:lang w:val="en-GB"/>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4CE82E97"/>
    <w:multiLevelType w:val="hybridMultilevel"/>
    <w:tmpl w:val="C122BAC2"/>
    <w:lvl w:ilvl="0" w:tplc="71F0A20A">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5"/>
  </w:num>
  <w:num w:numId="2">
    <w:abstractNumId w:val="3"/>
  </w:num>
  <w:num w:numId="3">
    <w:abstractNumId w:val="2"/>
  </w:num>
  <w:num w:numId="4">
    <w:abstractNumId w:val="4"/>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2956"/>
    <w:rsid w:val="00022E81"/>
    <w:rsid w:val="000318DB"/>
    <w:rsid w:val="000C6CF0"/>
    <w:rsid w:val="00113299"/>
    <w:rsid w:val="001639B5"/>
    <w:rsid w:val="00183BA2"/>
    <w:rsid w:val="001B6B68"/>
    <w:rsid w:val="001B7BA4"/>
    <w:rsid w:val="001D0503"/>
    <w:rsid w:val="001E2D3C"/>
    <w:rsid w:val="0026076E"/>
    <w:rsid w:val="003C16E9"/>
    <w:rsid w:val="003D5908"/>
    <w:rsid w:val="003F77D0"/>
    <w:rsid w:val="004050E7"/>
    <w:rsid w:val="004055A7"/>
    <w:rsid w:val="00481DE8"/>
    <w:rsid w:val="00491BB9"/>
    <w:rsid w:val="004A3F44"/>
    <w:rsid w:val="004A619D"/>
    <w:rsid w:val="004E0AB2"/>
    <w:rsid w:val="005040AE"/>
    <w:rsid w:val="00545EFB"/>
    <w:rsid w:val="005C1A27"/>
    <w:rsid w:val="005F758E"/>
    <w:rsid w:val="00631688"/>
    <w:rsid w:val="00632F61"/>
    <w:rsid w:val="00646918"/>
    <w:rsid w:val="00651F6F"/>
    <w:rsid w:val="00695FF4"/>
    <w:rsid w:val="006A286A"/>
    <w:rsid w:val="0072379A"/>
    <w:rsid w:val="00791C6A"/>
    <w:rsid w:val="00792F9C"/>
    <w:rsid w:val="007B3530"/>
    <w:rsid w:val="00872E9C"/>
    <w:rsid w:val="00901329"/>
    <w:rsid w:val="009720F0"/>
    <w:rsid w:val="00983A13"/>
    <w:rsid w:val="009F3C7A"/>
    <w:rsid w:val="00A55C73"/>
    <w:rsid w:val="00A84DD1"/>
    <w:rsid w:val="00A92DE4"/>
    <w:rsid w:val="00B17B54"/>
    <w:rsid w:val="00B368D9"/>
    <w:rsid w:val="00B66CA0"/>
    <w:rsid w:val="00BA584E"/>
    <w:rsid w:val="00BC6C12"/>
    <w:rsid w:val="00C1560A"/>
    <w:rsid w:val="00C46A41"/>
    <w:rsid w:val="00C82C6E"/>
    <w:rsid w:val="00CB1AED"/>
    <w:rsid w:val="00CD574B"/>
    <w:rsid w:val="00CE2225"/>
    <w:rsid w:val="00D72614"/>
    <w:rsid w:val="00DD190D"/>
    <w:rsid w:val="00E232CF"/>
    <w:rsid w:val="00E30C40"/>
    <w:rsid w:val="00E747B0"/>
    <w:rsid w:val="00F002CD"/>
    <w:rsid w:val="00F062F2"/>
    <w:rsid w:val="00F127D5"/>
    <w:rsid w:val="00F307F4"/>
    <w:rsid w:val="00F61907"/>
    <w:rsid w:val="00F64E0F"/>
    <w:rsid w:val="00FE579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 w:type="paragraph" w:customStyle="1" w:styleId="EQ">
    <w:name w:val="EQ"/>
    <w:basedOn w:val="Normal"/>
    <w:next w:val="Normal"/>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Strong">
    <w:name w:val="Strong"/>
    <w:basedOn w:val="DefaultParagraphFont"/>
    <w:uiPriority w:val="22"/>
    <w:qFormat/>
    <w:rsid w:val="000229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 w:type="paragraph" w:customStyle="1" w:styleId="EQ">
    <w:name w:val="EQ"/>
    <w:basedOn w:val="Normal"/>
    <w:next w:val="Normal"/>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Strong">
    <w:name w:val="Strong"/>
    <w:basedOn w:val="DefaultParagraphFont"/>
    <w:uiPriority w:val="22"/>
    <w:qFormat/>
    <w:rsid w:val="000229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32053">
      <w:bodyDiv w:val="1"/>
      <w:marLeft w:val="0"/>
      <w:marRight w:val="0"/>
      <w:marTop w:val="0"/>
      <w:marBottom w:val="0"/>
      <w:divBdr>
        <w:top w:val="none" w:sz="0" w:space="0" w:color="auto"/>
        <w:left w:val="none" w:sz="0" w:space="0" w:color="auto"/>
        <w:bottom w:val="none" w:sz="0" w:space="0" w:color="auto"/>
        <w:right w:val="none" w:sz="0" w:space="0" w:color="auto"/>
      </w:divBdr>
    </w:div>
    <w:div w:id="260796458">
      <w:bodyDiv w:val="1"/>
      <w:marLeft w:val="0"/>
      <w:marRight w:val="0"/>
      <w:marTop w:val="0"/>
      <w:marBottom w:val="0"/>
      <w:divBdr>
        <w:top w:val="none" w:sz="0" w:space="0" w:color="auto"/>
        <w:left w:val="none" w:sz="0" w:space="0" w:color="auto"/>
        <w:bottom w:val="none" w:sz="0" w:space="0" w:color="auto"/>
        <w:right w:val="none" w:sz="0" w:space="0" w:color="auto"/>
      </w:divBdr>
    </w:div>
    <w:div w:id="264191024">
      <w:bodyDiv w:val="1"/>
      <w:marLeft w:val="0"/>
      <w:marRight w:val="0"/>
      <w:marTop w:val="0"/>
      <w:marBottom w:val="0"/>
      <w:divBdr>
        <w:top w:val="none" w:sz="0" w:space="0" w:color="auto"/>
        <w:left w:val="none" w:sz="0" w:space="0" w:color="auto"/>
        <w:bottom w:val="none" w:sz="0" w:space="0" w:color="auto"/>
        <w:right w:val="none" w:sz="0" w:space="0" w:color="auto"/>
      </w:divBdr>
    </w:div>
    <w:div w:id="1794441561">
      <w:bodyDiv w:val="1"/>
      <w:marLeft w:val="0"/>
      <w:marRight w:val="0"/>
      <w:marTop w:val="0"/>
      <w:marBottom w:val="0"/>
      <w:divBdr>
        <w:top w:val="none" w:sz="0" w:space="0" w:color="auto"/>
        <w:left w:val="none" w:sz="0" w:space="0" w:color="auto"/>
        <w:bottom w:val="none" w:sz="0" w:space="0" w:color="auto"/>
        <w:right w:val="none" w:sz="0" w:space="0" w:color="auto"/>
      </w:divBdr>
    </w:div>
    <w:div w:id="181155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1.bin"/><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D4F76-D6C5-4452-B01F-66EE93EAE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911</Words>
  <Characters>4839</Characters>
  <Application>Microsoft Office Word</Application>
  <DocSecurity>0</DocSecurity>
  <Lines>241</Lines>
  <Paragraphs>185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Henrik Asplund</cp:lastModifiedBy>
  <cp:revision>7</cp:revision>
  <dcterms:created xsi:type="dcterms:W3CDTF">2016-03-31T14:22:00Z</dcterms:created>
  <dcterms:modified xsi:type="dcterms:W3CDTF">2016-04-01T12:34:00Z</dcterms:modified>
</cp:coreProperties>
</file>